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CD4PEACE – REPORT OF THE 19th</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b w:val="1"/>
          <w:sz w:val="24"/>
          <w:szCs w:val="24"/>
          <w:rtl w:val="0"/>
        </w:rPr>
        <w:t xml:space="preserve">and 20th MEETING OF THE 47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OF THE HUMAN RIGHTS COUNCIL (2nd July 2021)</w:t>
      </w:r>
    </w:p>
    <w:p w:rsidR="00000000" w:rsidDel="00000000" w:rsidP="00000000" w:rsidRDefault="00000000" w:rsidRPr="00000000" w14:paraId="00000002">
      <w:pPr>
        <w:spacing w:after="12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On The Interactive Dialogue with the Working Group on Arbitrary Executions</w:t>
      </w:r>
    </w:p>
    <w:p w:rsidR="00000000" w:rsidDel="00000000" w:rsidP="00000000" w:rsidRDefault="00000000" w:rsidRPr="00000000" w14:paraId="00000003">
      <w:pPr>
        <w:spacing w:after="12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sources used to draft this report can be found</w:t>
      </w:r>
      <w:hyperlink r:id="rId7">
        <w:r w:rsidDel="00000000" w:rsidR="00000000" w:rsidRPr="00000000">
          <w:rPr>
            <w:rFonts w:ascii="Times New Roman" w:cs="Times New Roman" w:eastAsia="Times New Roman" w:hAnsi="Times New Roman"/>
            <w:i w:val="1"/>
            <w:color w:val="1155cc"/>
            <w:sz w:val="24"/>
            <w:szCs w:val="24"/>
            <w:u w:val="single"/>
            <w:rtl w:val="0"/>
          </w:rPr>
          <w:t xml:space="preserve"> here</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4">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session was held on the tenth day of the 47th session of the Human Rights Council as an interactive dialogue session with the Working Group on arbitrary detention where the </w:t>
      </w: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b w:val="1"/>
          <w:sz w:val="24"/>
          <w:szCs w:val="24"/>
          <w:highlight w:val="white"/>
          <w:rtl w:val="0"/>
        </w:rPr>
        <w:t xml:space="preserve">Rapporteur of the Working Group on Arbitrary Detention</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b w:val="1"/>
          <w:sz w:val="24"/>
          <w:szCs w:val="24"/>
          <w:highlight w:val="white"/>
          <w:rtl w:val="0"/>
        </w:rPr>
        <w:t xml:space="preserve">Elina Steinerte</w:t>
      </w:r>
      <w:r w:rsidDel="00000000" w:rsidR="00000000" w:rsidRPr="00000000">
        <w:rPr>
          <w:rFonts w:ascii="Times New Roman" w:cs="Times New Roman" w:eastAsia="Times New Roman" w:hAnsi="Times New Roman"/>
          <w:sz w:val="24"/>
          <w:szCs w:val="24"/>
          <w:highlight w:val="white"/>
          <w:rtl w:val="0"/>
        </w:rPr>
        <w:t xml:space="preserve"> presented their study on Arbitrary Detention relating to drug policies. </w:t>
      </w:r>
      <w:r w:rsidDel="00000000" w:rsidR="00000000" w:rsidRPr="00000000">
        <w:rPr>
          <w:rFonts w:ascii="Times New Roman" w:cs="Times New Roman" w:eastAsia="Times New Roman" w:hAnsi="Times New Roman"/>
          <w:sz w:val="24"/>
          <w:szCs w:val="24"/>
          <w:rtl w:val="0"/>
        </w:rPr>
        <w:t xml:space="preserve">(Read the full reports </w:t>
      </w:r>
      <w:hyperlink r:id="rId8">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session included the opening presentation of the </w:t>
      </w:r>
      <w:r w:rsidDel="00000000" w:rsidR="00000000" w:rsidRPr="00000000">
        <w:rPr>
          <w:rFonts w:ascii="Times New Roman" w:cs="Times New Roman" w:eastAsia="Times New Roman" w:hAnsi="Times New Roman"/>
          <w:b w:val="1"/>
          <w:sz w:val="24"/>
          <w:szCs w:val="24"/>
          <w:rtl w:val="0"/>
        </w:rPr>
        <w:t xml:space="preserve">Chair Rapporteur of the Working Group</w:t>
      </w:r>
      <w:r w:rsidDel="00000000" w:rsidR="00000000" w:rsidRPr="00000000">
        <w:rPr>
          <w:rFonts w:ascii="Times New Roman" w:cs="Times New Roman" w:eastAsia="Times New Roman" w:hAnsi="Times New Roman"/>
          <w:sz w:val="24"/>
          <w:szCs w:val="24"/>
          <w:rtl w:val="0"/>
        </w:rPr>
        <w:t xml:space="preserve"> and several short statements from States and NGOs who discussed the study and contextualised the issue within their own constituencies.</w:t>
      </w:r>
    </w:p>
    <w:p w:rsidR="00000000" w:rsidDel="00000000" w:rsidP="00000000" w:rsidRDefault="00000000" w:rsidRPr="00000000" w14:paraId="00000006">
      <w:pPr>
        <w:spacing w:after="12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Vice President of the Human Rights Council, Yuri Borissov Sterk</w:t>
      </w:r>
      <w:r w:rsidDel="00000000" w:rsidR="00000000" w:rsidRPr="00000000">
        <w:rPr>
          <w:rFonts w:ascii="Times New Roman" w:cs="Times New Roman" w:eastAsia="Times New Roman" w:hAnsi="Times New Roman"/>
          <w:sz w:val="24"/>
          <w:szCs w:val="24"/>
          <w:rtl w:val="0"/>
        </w:rPr>
        <w:t xml:space="preserve">, presided over the session. The session began with the statement from </w:t>
      </w:r>
      <w:r w:rsidDel="00000000" w:rsidR="00000000" w:rsidRPr="00000000">
        <w:rPr>
          <w:rFonts w:ascii="Times New Roman" w:cs="Times New Roman" w:eastAsia="Times New Roman" w:hAnsi="Times New Roman"/>
          <w:b w:val="1"/>
          <w:sz w:val="24"/>
          <w:szCs w:val="24"/>
          <w:highlight w:val="white"/>
          <w:rtl w:val="0"/>
        </w:rPr>
        <w:t xml:space="preserve">Elina Steinerte </w:t>
      </w:r>
      <w:r w:rsidDel="00000000" w:rsidR="00000000" w:rsidRPr="00000000">
        <w:rPr>
          <w:rFonts w:ascii="Times New Roman" w:cs="Times New Roman" w:eastAsia="Times New Roman" w:hAnsi="Times New Roman"/>
          <w:sz w:val="24"/>
          <w:szCs w:val="24"/>
          <w:highlight w:val="white"/>
          <w:rtl w:val="0"/>
        </w:rPr>
        <w:t xml:space="preserve">which gave an overview of the study done by the Working Group at the request made by the Human Rights Council in its resolution 42/22 to ensure that upholding the prohibition is therein included as part of an effective criminal justice response to drug related crimes in accordance with international law as well as encompass legal guarantees and due process safeguards. </w:t>
      </w:r>
    </w:p>
    <w:p w:rsidR="00000000" w:rsidDel="00000000" w:rsidP="00000000" w:rsidRDefault="00000000" w:rsidRPr="00000000" w14:paraId="00000007">
      <w:pPr>
        <w:spacing w:after="12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statement established that the study aims to ensure that the absolute prohibition of arbitrary intervention as required by international law is included as part of an effective criminal justice response to drug related crimes and that such a response would also encompass legal guarantees. It also highlighted the broad scope of the issues at stake, their interconnected nature and the need to incorporate human rights as a part of the response of all the actors in the various sectors. The study focussed on and provided recommendations in the following areas: 1) </w:t>
      </w:r>
      <w:r w:rsidDel="00000000" w:rsidR="00000000" w:rsidRPr="00000000">
        <w:rPr>
          <w:rFonts w:ascii="Times New Roman" w:cs="Times New Roman" w:eastAsia="Times New Roman" w:hAnsi="Times New Roman"/>
          <w:sz w:val="24"/>
          <w:szCs w:val="24"/>
          <w:highlight w:val="white"/>
          <w:u w:val="single"/>
          <w:rtl w:val="0"/>
        </w:rPr>
        <w:t xml:space="preserve">How the arbitrary detention in drug related crimes causes disproportionate convictions leading to prison overcrowding and how detention should be relegated to only serious crimes</w:t>
      </w:r>
      <w:r w:rsidDel="00000000" w:rsidR="00000000" w:rsidRPr="00000000">
        <w:rPr>
          <w:rFonts w:ascii="Times New Roman" w:cs="Times New Roman" w:eastAsia="Times New Roman" w:hAnsi="Times New Roman"/>
          <w:sz w:val="24"/>
          <w:szCs w:val="24"/>
          <w:highlight w:val="white"/>
          <w:rtl w:val="0"/>
        </w:rPr>
        <w:t xml:space="preserve"> 2) </w:t>
      </w:r>
      <w:r w:rsidDel="00000000" w:rsidR="00000000" w:rsidRPr="00000000">
        <w:rPr>
          <w:rFonts w:ascii="Times New Roman" w:cs="Times New Roman" w:eastAsia="Times New Roman" w:hAnsi="Times New Roman"/>
          <w:sz w:val="24"/>
          <w:szCs w:val="24"/>
          <w:highlight w:val="white"/>
          <w:u w:val="single"/>
          <w:rtl w:val="0"/>
        </w:rPr>
        <w:t xml:space="preserve">How the war on drugs is causing severe widespread human rights violations</w:t>
      </w:r>
      <w:r w:rsidDel="00000000" w:rsidR="00000000" w:rsidRPr="00000000">
        <w:rPr>
          <w:rFonts w:ascii="Times New Roman" w:cs="Times New Roman" w:eastAsia="Times New Roman" w:hAnsi="Times New Roman"/>
          <w:sz w:val="24"/>
          <w:szCs w:val="24"/>
          <w:highlight w:val="white"/>
          <w:rtl w:val="0"/>
        </w:rPr>
        <w:t xml:space="preserve"> 3)</w:t>
      </w:r>
      <w:r w:rsidDel="00000000" w:rsidR="00000000" w:rsidRPr="00000000">
        <w:rPr>
          <w:rFonts w:ascii="Times New Roman" w:cs="Times New Roman" w:eastAsia="Times New Roman" w:hAnsi="Times New Roman"/>
          <w:sz w:val="24"/>
          <w:szCs w:val="24"/>
          <w:highlight w:val="white"/>
          <w:u w:val="single"/>
          <w:rtl w:val="0"/>
        </w:rPr>
        <w:t xml:space="preserve">How there is a misuse of drug control measures to silence human rights workers, journalists etc.</w:t>
      </w:r>
      <w:r w:rsidDel="00000000" w:rsidR="00000000" w:rsidRPr="00000000">
        <w:rPr>
          <w:rFonts w:ascii="Times New Roman" w:cs="Times New Roman" w:eastAsia="Times New Roman" w:hAnsi="Times New Roman"/>
          <w:sz w:val="24"/>
          <w:szCs w:val="24"/>
          <w:highlight w:val="white"/>
          <w:rtl w:val="0"/>
        </w:rPr>
        <w:t xml:space="preserve"> 4)</w:t>
      </w:r>
      <w:r w:rsidDel="00000000" w:rsidR="00000000" w:rsidRPr="00000000">
        <w:rPr>
          <w:rFonts w:ascii="Times New Roman" w:cs="Times New Roman" w:eastAsia="Times New Roman" w:hAnsi="Times New Roman"/>
          <w:sz w:val="24"/>
          <w:szCs w:val="24"/>
          <w:highlight w:val="white"/>
          <w:u w:val="single"/>
          <w:rtl w:val="0"/>
        </w:rPr>
        <w:t xml:space="preserve">How there is a discriminatory use of drug control measures to isolate minorities like women, LGBTI, those of african descent etc.</w:t>
      </w:r>
      <w:r w:rsidDel="00000000" w:rsidR="00000000" w:rsidRPr="00000000">
        <w:rPr>
          <w:rFonts w:ascii="Times New Roman" w:cs="Times New Roman" w:eastAsia="Times New Roman" w:hAnsi="Times New Roman"/>
          <w:sz w:val="24"/>
          <w:szCs w:val="24"/>
          <w:highlight w:val="white"/>
          <w:rtl w:val="0"/>
        </w:rPr>
        <w:t xml:space="preserve"> 5)</w:t>
      </w:r>
      <w:r w:rsidDel="00000000" w:rsidR="00000000" w:rsidRPr="00000000">
        <w:rPr>
          <w:rFonts w:ascii="Times New Roman" w:cs="Times New Roman" w:eastAsia="Times New Roman" w:hAnsi="Times New Roman"/>
          <w:sz w:val="24"/>
          <w:szCs w:val="24"/>
          <w:highlight w:val="white"/>
          <w:u w:val="single"/>
          <w:rtl w:val="0"/>
        </w:rPr>
        <w:t xml:space="preserve">Drug treatment must be on the forefront and how informed consent and voluntary evidence informed health based services have proved to have a better result than detention or other punishment related measures</w:t>
      </w:r>
      <w:r w:rsidDel="00000000" w:rsidR="00000000" w:rsidRPr="00000000">
        <w:rPr>
          <w:rFonts w:ascii="Times New Roman" w:cs="Times New Roman" w:eastAsia="Times New Roman" w:hAnsi="Times New Roman"/>
          <w:sz w:val="24"/>
          <w:szCs w:val="24"/>
          <w:highlight w:val="white"/>
          <w:rtl w:val="0"/>
        </w:rPr>
        <w:t xml:space="preserve"> 6)</w:t>
      </w:r>
      <w:r w:rsidDel="00000000" w:rsidR="00000000" w:rsidRPr="00000000">
        <w:rPr>
          <w:rFonts w:ascii="Times New Roman" w:cs="Times New Roman" w:eastAsia="Times New Roman" w:hAnsi="Times New Roman"/>
          <w:sz w:val="24"/>
          <w:szCs w:val="24"/>
          <w:highlight w:val="white"/>
          <w:u w:val="single"/>
          <w:rtl w:val="0"/>
        </w:rPr>
        <w:t xml:space="preserve">The importance of the contribution of civil society in aiding these programs for secure drug control that does not compromise on human rights standards.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8">
      <w:pPr>
        <w:spacing w:after="12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b w:val="1"/>
          <w:sz w:val="24"/>
          <w:szCs w:val="24"/>
          <w:rtl w:val="0"/>
        </w:rPr>
        <w:t xml:space="preserve">Chair Rapporteur</w:t>
      </w:r>
      <w:r w:rsidDel="00000000" w:rsidR="00000000" w:rsidRPr="00000000">
        <w:rPr>
          <w:rFonts w:ascii="Times New Roman" w:cs="Times New Roman" w:eastAsia="Times New Roman" w:hAnsi="Times New Roman"/>
          <w:sz w:val="24"/>
          <w:szCs w:val="24"/>
          <w:highlight w:val="white"/>
          <w:rtl w:val="0"/>
        </w:rPr>
        <w:t xml:space="preserve"> wrapped up by acknowledging the collaborative efforts set up by the UN agencies, Regional and National organisations and other relevant stakeholders and reaffirming the support of the working group to further such collaborations. </w:t>
      </w:r>
    </w:p>
    <w:p w:rsidR="00000000" w:rsidDel="00000000" w:rsidP="00000000" w:rsidRDefault="00000000" w:rsidRPr="00000000" w14:paraId="00000009">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first session of this Interactive Dialogue ended at this point and was restarted again in the 20th meeting which was presided over by the President of the Human Rights Council - </w:t>
      </w:r>
      <w:r w:rsidDel="00000000" w:rsidR="00000000" w:rsidRPr="00000000">
        <w:rPr>
          <w:rFonts w:ascii="Times New Roman" w:cs="Times New Roman" w:eastAsia="Times New Roman" w:hAnsi="Times New Roman"/>
          <w:b w:val="1"/>
          <w:sz w:val="24"/>
          <w:szCs w:val="24"/>
          <w:highlight w:val="white"/>
          <w:rtl w:val="0"/>
        </w:rPr>
        <w:t xml:space="preserve">Nazhat Shameem Khan.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then opened the floor for the short statements from the following participating countries and organisations (click on the name to access the written statement): </w:t>
      </w:r>
      <w:hyperlink r:id="rId9">
        <w:r w:rsidDel="00000000" w:rsidR="00000000" w:rsidRPr="00000000">
          <w:rPr>
            <w:rFonts w:ascii="Times New Roman" w:cs="Times New Roman" w:eastAsia="Times New Roman" w:hAnsi="Times New Roman"/>
            <w:color w:val="0072c6"/>
            <w:sz w:val="24"/>
            <w:szCs w:val="24"/>
            <w:rtl w:val="0"/>
          </w:rPr>
          <w:t xml:space="preserve">Austria</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072c6"/>
            <w:sz w:val="24"/>
            <w:szCs w:val="24"/>
            <w:rtl w:val="0"/>
          </w:rPr>
          <w:t xml:space="preserve">Barbados</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72c6"/>
            <w:sz w:val="24"/>
            <w:szCs w:val="24"/>
            <w:rtl w:val="0"/>
          </w:rPr>
          <w:t xml:space="preserve">Belarus</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0072c6"/>
            <w:sz w:val="24"/>
            <w:szCs w:val="24"/>
            <w:rtl w:val="0"/>
          </w:rPr>
          <w:t xml:space="preserve">Cambodia</w:t>
        </w:r>
      </w:hyperlink>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0072c6"/>
            <w:sz w:val="24"/>
            <w:szCs w:val="24"/>
            <w:rtl w:val="0"/>
          </w:rPr>
          <w:t xml:space="preserve">China</w:t>
        </w:r>
      </w:hyperlink>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0072c6"/>
            <w:sz w:val="24"/>
            <w:szCs w:val="24"/>
            <w:rtl w:val="0"/>
          </w:rPr>
          <w:t xml:space="preserve">Cuba</w:t>
        </w:r>
      </w:hyperlink>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0072c6"/>
            <w:sz w:val="24"/>
            <w:szCs w:val="24"/>
            <w:rtl w:val="0"/>
          </w:rPr>
          <w:t xml:space="preserve">Egypt</w:t>
        </w:r>
      </w:hyperlink>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0072c6"/>
            <w:sz w:val="24"/>
            <w:szCs w:val="24"/>
            <w:rtl w:val="0"/>
          </w:rPr>
          <w:t xml:space="preserve">European Union on behalf of European Union (EU)</w:t>
        </w:r>
      </w:hyperlink>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0072c6"/>
            <w:sz w:val="24"/>
            <w:szCs w:val="24"/>
            <w:rtl w:val="0"/>
          </w:rPr>
          <w:t xml:space="preserve">France</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0072c6"/>
            <w:sz w:val="24"/>
            <w:szCs w:val="24"/>
            <w:rtl w:val="0"/>
          </w:rPr>
          <w:t xml:space="preserve">Georgia</w:t>
        </w:r>
      </w:hyperlink>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0072c6"/>
            <w:sz w:val="24"/>
            <w:szCs w:val="24"/>
            <w:rtl w:val="0"/>
          </w:rPr>
          <w:t xml:space="preserve">Indonesia</w:t>
        </w:r>
      </w:hyperlink>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0072c6"/>
            <w:sz w:val="24"/>
            <w:szCs w:val="24"/>
            <w:rtl w:val="0"/>
          </w:rPr>
          <w:t xml:space="preserve">Latvia on behalf of Nordic-Baltic countries (Denmark, Estonia, Finland, Iceland, Latvia, Lithuania, Norway, Sweden)</w:t>
        </w:r>
      </w:hyperlink>
      <w:r w:rsidDel="00000000" w:rsidR="00000000" w:rsidRPr="00000000">
        <w:rPr>
          <w:rFonts w:ascii="Times New Roman" w:cs="Times New Roman" w:eastAsia="Times New Roman" w:hAnsi="Times New Roman"/>
          <w:sz w:val="24"/>
          <w:szCs w:val="24"/>
          <w:rtl w:val="0"/>
        </w:rPr>
        <w:t xml:space="preserve">, </w:t>
      </w:r>
      <w:hyperlink r:id="rId21">
        <w:r w:rsidDel="00000000" w:rsidR="00000000" w:rsidRPr="00000000">
          <w:rPr>
            <w:rFonts w:ascii="Times New Roman" w:cs="Times New Roman" w:eastAsia="Times New Roman" w:hAnsi="Times New Roman"/>
            <w:color w:val="0072c6"/>
            <w:sz w:val="24"/>
            <w:szCs w:val="24"/>
            <w:rtl w:val="0"/>
          </w:rPr>
          <w:t xml:space="preserve">Libya</w:t>
        </w:r>
      </w:hyperlink>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0072c6"/>
            <w:sz w:val="24"/>
            <w:szCs w:val="24"/>
            <w:rtl w:val="0"/>
          </w:rPr>
          <w:t xml:space="preserve">Malaysia</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0072c6"/>
            <w:sz w:val="24"/>
            <w:szCs w:val="24"/>
            <w:rtl w:val="0"/>
          </w:rPr>
          <w:t xml:space="preserve">Panama</w:t>
        </w:r>
      </w:hyperlink>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0072c6"/>
            <w:sz w:val="24"/>
            <w:szCs w:val="24"/>
            <w:rtl w:val="0"/>
          </w:rPr>
          <w:t xml:space="preserve">Philippines</w:t>
        </w:r>
      </w:hyperlink>
      <w:r w:rsidDel="00000000" w:rsidR="00000000" w:rsidRPr="00000000">
        <w:rPr>
          <w:rFonts w:ascii="Times New Roman" w:cs="Times New Roman" w:eastAsia="Times New Roman" w:hAnsi="Times New Roman"/>
          <w:sz w:val="24"/>
          <w:szCs w:val="24"/>
          <w:rtl w:val="0"/>
        </w:rPr>
        <w:t xml:space="preserve">, </w:t>
      </w:r>
      <w:hyperlink r:id="rId25">
        <w:r w:rsidDel="00000000" w:rsidR="00000000" w:rsidRPr="00000000">
          <w:rPr>
            <w:rFonts w:ascii="Times New Roman" w:cs="Times New Roman" w:eastAsia="Times New Roman" w:hAnsi="Times New Roman"/>
            <w:color w:val="0072c6"/>
            <w:sz w:val="24"/>
            <w:szCs w:val="24"/>
            <w:rtl w:val="0"/>
          </w:rPr>
          <w:t xml:space="preserve">Portugal</w:t>
        </w:r>
      </w:hyperlink>
      <w:r w:rsidDel="00000000" w:rsidR="00000000" w:rsidRPr="00000000">
        <w:rPr>
          <w:rFonts w:ascii="Times New Roman" w:cs="Times New Roman" w:eastAsia="Times New Roman" w:hAnsi="Times New Roman"/>
          <w:sz w:val="24"/>
          <w:szCs w:val="24"/>
          <w:rtl w:val="0"/>
        </w:rPr>
        <w:t xml:space="preserve">, </w:t>
      </w:r>
      <w:hyperlink r:id="rId26">
        <w:r w:rsidDel="00000000" w:rsidR="00000000" w:rsidRPr="00000000">
          <w:rPr>
            <w:rFonts w:ascii="Times New Roman" w:cs="Times New Roman" w:eastAsia="Times New Roman" w:hAnsi="Times New Roman"/>
            <w:color w:val="0072c6"/>
            <w:sz w:val="24"/>
            <w:szCs w:val="24"/>
            <w:rtl w:val="0"/>
          </w:rPr>
          <w:t xml:space="preserve">Russian Federation</w:t>
        </w:r>
      </w:hyperlink>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0072c6"/>
            <w:sz w:val="24"/>
            <w:szCs w:val="24"/>
            <w:rtl w:val="0"/>
          </w:rPr>
          <w:t xml:space="preserve">Saudi Arabia</w:t>
        </w:r>
      </w:hyperlink>
      <w:r w:rsidDel="00000000" w:rsidR="00000000" w:rsidRPr="00000000">
        <w:rPr>
          <w:rFonts w:ascii="Times New Roman" w:cs="Times New Roman" w:eastAsia="Times New Roman" w:hAnsi="Times New Roman"/>
          <w:sz w:val="24"/>
          <w:szCs w:val="24"/>
          <w:rtl w:val="0"/>
        </w:rPr>
        <w:t xml:space="preserve">, </w:t>
      </w:r>
      <w:hyperlink r:id="rId28">
        <w:r w:rsidDel="00000000" w:rsidR="00000000" w:rsidRPr="00000000">
          <w:rPr>
            <w:rFonts w:ascii="Times New Roman" w:cs="Times New Roman" w:eastAsia="Times New Roman" w:hAnsi="Times New Roman"/>
            <w:color w:val="0072c6"/>
            <w:sz w:val="24"/>
            <w:szCs w:val="24"/>
            <w:rtl w:val="0"/>
          </w:rPr>
          <w:t xml:space="preserve">Singapore</w:t>
        </w:r>
      </w:hyperlink>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0072c6"/>
            <w:sz w:val="24"/>
            <w:szCs w:val="24"/>
            <w:rtl w:val="0"/>
          </w:rPr>
          <w:t xml:space="preserve">United Kingdom of Great Britain and Northern Ireland</w:t>
        </w:r>
      </w:hyperlink>
      <w:r w:rsidDel="00000000" w:rsidR="00000000" w:rsidRPr="00000000">
        <w:rPr>
          <w:rFonts w:ascii="Times New Roman" w:cs="Times New Roman" w:eastAsia="Times New Roman" w:hAnsi="Times New Roman"/>
          <w:sz w:val="24"/>
          <w:szCs w:val="24"/>
          <w:rtl w:val="0"/>
        </w:rPr>
        <w:t xml:space="preserve">, </w:t>
      </w:r>
      <w:hyperlink r:id="rId30">
        <w:r w:rsidDel="00000000" w:rsidR="00000000" w:rsidRPr="00000000">
          <w:rPr>
            <w:rFonts w:ascii="Times New Roman" w:cs="Times New Roman" w:eastAsia="Times New Roman" w:hAnsi="Times New Roman"/>
            <w:color w:val="0072c6"/>
            <w:sz w:val="24"/>
            <w:szCs w:val="24"/>
            <w:rtl w:val="0"/>
          </w:rPr>
          <w:t xml:space="preserve">United States of America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12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marginal majority of the countries expressed their appreciation of the study done by the Working Group and pledged their support for aligning with the recommendations specified by the Chair Rapporteur. They </w:t>
      </w:r>
      <w:r w:rsidDel="00000000" w:rsidR="00000000" w:rsidRPr="00000000">
        <w:rPr>
          <w:rFonts w:ascii="Times New Roman" w:cs="Times New Roman" w:eastAsia="Times New Roman" w:hAnsi="Times New Roman"/>
          <w:sz w:val="24"/>
          <w:szCs w:val="24"/>
          <w:highlight w:val="white"/>
          <w:u w:val="single"/>
          <w:rtl w:val="0"/>
        </w:rPr>
        <w:t xml:space="preserve">condemned the disproportionate sentences of drug related detentions</w:t>
      </w:r>
      <w:r w:rsidDel="00000000" w:rsidR="00000000" w:rsidRPr="00000000">
        <w:rPr>
          <w:rFonts w:ascii="Times New Roman" w:cs="Times New Roman" w:eastAsia="Times New Roman" w:hAnsi="Times New Roman"/>
          <w:sz w:val="24"/>
          <w:szCs w:val="24"/>
          <w:highlight w:val="white"/>
          <w:rtl w:val="0"/>
        </w:rPr>
        <w:t xml:space="preserve"> and agreed to strive towards </w:t>
      </w:r>
      <w:r w:rsidDel="00000000" w:rsidR="00000000" w:rsidRPr="00000000">
        <w:rPr>
          <w:rFonts w:ascii="Times New Roman" w:cs="Times New Roman" w:eastAsia="Times New Roman" w:hAnsi="Times New Roman"/>
          <w:sz w:val="24"/>
          <w:szCs w:val="24"/>
          <w:highlight w:val="white"/>
          <w:u w:val="single"/>
          <w:rtl w:val="0"/>
        </w:rPr>
        <w:t xml:space="preserve">ending arbitrary detention</w:t>
      </w:r>
      <w:r w:rsidDel="00000000" w:rsidR="00000000" w:rsidRPr="00000000">
        <w:rPr>
          <w:rFonts w:ascii="Times New Roman" w:cs="Times New Roman" w:eastAsia="Times New Roman" w:hAnsi="Times New Roman"/>
          <w:sz w:val="24"/>
          <w:szCs w:val="24"/>
          <w:highlight w:val="white"/>
          <w:rtl w:val="0"/>
        </w:rPr>
        <w:t xml:space="preserve"> as well as taking steps towards </w:t>
      </w:r>
      <w:r w:rsidDel="00000000" w:rsidR="00000000" w:rsidRPr="00000000">
        <w:rPr>
          <w:rFonts w:ascii="Times New Roman" w:cs="Times New Roman" w:eastAsia="Times New Roman" w:hAnsi="Times New Roman"/>
          <w:sz w:val="24"/>
          <w:szCs w:val="24"/>
          <w:highlight w:val="white"/>
          <w:u w:val="single"/>
          <w:rtl w:val="0"/>
        </w:rPr>
        <w:t xml:space="preserve">ensuring a treatment based approach for dealing with drug consumption and addiction</w:t>
      </w:r>
      <w:r w:rsidDel="00000000" w:rsidR="00000000" w:rsidRPr="00000000">
        <w:rPr>
          <w:rFonts w:ascii="Times New Roman" w:cs="Times New Roman" w:eastAsia="Times New Roman" w:hAnsi="Times New Roman"/>
          <w:sz w:val="24"/>
          <w:szCs w:val="24"/>
          <w:highlight w:val="white"/>
          <w:rtl w:val="0"/>
        </w:rPr>
        <w:t xml:space="preserve">. Some of the country representatives including those of </w:t>
      </w:r>
      <w:r w:rsidDel="00000000" w:rsidR="00000000" w:rsidRPr="00000000">
        <w:rPr>
          <w:rFonts w:ascii="Times New Roman" w:cs="Times New Roman" w:eastAsia="Times New Roman" w:hAnsi="Times New Roman"/>
          <w:b w:val="1"/>
          <w:sz w:val="24"/>
          <w:szCs w:val="24"/>
          <w:highlight w:val="white"/>
          <w:rtl w:val="0"/>
        </w:rPr>
        <w:t xml:space="preserve">Portugal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Malaysia</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b w:val="1"/>
          <w:sz w:val="24"/>
          <w:szCs w:val="24"/>
          <w:highlight w:val="white"/>
          <w:rtl w:val="0"/>
        </w:rPr>
        <w:t xml:space="preserve">Austria</w:t>
      </w:r>
      <w:r w:rsidDel="00000000" w:rsidR="00000000" w:rsidRPr="00000000">
        <w:rPr>
          <w:rFonts w:ascii="Times New Roman" w:cs="Times New Roman" w:eastAsia="Times New Roman" w:hAnsi="Times New Roman"/>
          <w:sz w:val="24"/>
          <w:szCs w:val="24"/>
          <w:highlight w:val="white"/>
          <w:rtl w:val="0"/>
        </w:rPr>
        <w:t xml:space="preserve"> among others reported the programs that their countries  have undertaken to ensure a balanced approach to drug control measures that take human rights into account. However multiple countries vehemently disagreed with some of the findings and recommendations of the study. Countries like </w:t>
      </w:r>
      <w:r w:rsidDel="00000000" w:rsidR="00000000" w:rsidRPr="00000000">
        <w:rPr>
          <w:rFonts w:ascii="Times New Roman" w:cs="Times New Roman" w:eastAsia="Times New Roman" w:hAnsi="Times New Roman"/>
          <w:b w:val="1"/>
          <w:sz w:val="24"/>
          <w:szCs w:val="24"/>
          <w:highlight w:val="white"/>
          <w:rtl w:val="0"/>
        </w:rPr>
        <w:t xml:space="preserve">China, Cuba, Saudi Arabia, Philippines, Russia, Belarus and Pakistan</w:t>
      </w:r>
      <w:r w:rsidDel="00000000" w:rsidR="00000000" w:rsidRPr="00000000">
        <w:rPr>
          <w:rFonts w:ascii="Times New Roman" w:cs="Times New Roman" w:eastAsia="Times New Roman" w:hAnsi="Times New Roman"/>
          <w:sz w:val="24"/>
          <w:szCs w:val="24"/>
          <w:highlight w:val="white"/>
          <w:rtl w:val="0"/>
        </w:rPr>
        <w:t xml:space="preserve"> expressed their discontent with the findings of the Working Group. </w:t>
      </w:r>
      <w:r w:rsidDel="00000000" w:rsidR="00000000" w:rsidRPr="00000000">
        <w:rPr>
          <w:rFonts w:ascii="Times New Roman" w:cs="Times New Roman" w:eastAsia="Times New Roman" w:hAnsi="Times New Roman"/>
          <w:b w:val="1"/>
          <w:sz w:val="24"/>
          <w:szCs w:val="24"/>
          <w:highlight w:val="white"/>
          <w:rtl w:val="0"/>
        </w:rPr>
        <w:t xml:space="preserve">China and Belarus</w:t>
      </w:r>
      <w:r w:rsidDel="00000000" w:rsidR="00000000" w:rsidRPr="00000000">
        <w:rPr>
          <w:rFonts w:ascii="Times New Roman" w:cs="Times New Roman" w:eastAsia="Times New Roman" w:hAnsi="Times New Roman"/>
          <w:sz w:val="24"/>
          <w:szCs w:val="24"/>
          <w:highlight w:val="white"/>
          <w:rtl w:val="0"/>
        </w:rPr>
        <w:t xml:space="preserve"> expressed their concerns that the report was </w:t>
      </w:r>
      <w:r w:rsidDel="00000000" w:rsidR="00000000" w:rsidRPr="00000000">
        <w:rPr>
          <w:rFonts w:ascii="Times New Roman" w:cs="Times New Roman" w:eastAsia="Times New Roman" w:hAnsi="Times New Roman"/>
          <w:sz w:val="24"/>
          <w:szCs w:val="24"/>
          <w:highlight w:val="white"/>
          <w:u w:val="single"/>
          <w:rtl w:val="0"/>
        </w:rPr>
        <w:t xml:space="preserve">not impartial and had negative intentions particularly directed at certain developing countries</w:t>
      </w:r>
      <w:r w:rsidDel="00000000" w:rsidR="00000000" w:rsidRPr="00000000">
        <w:rPr>
          <w:rFonts w:ascii="Times New Roman" w:cs="Times New Roman" w:eastAsia="Times New Roman" w:hAnsi="Times New Roman"/>
          <w:sz w:val="24"/>
          <w:szCs w:val="24"/>
          <w:highlight w:val="white"/>
          <w:rtl w:val="0"/>
        </w:rPr>
        <w:t xml:space="preserve"> while ignoring the situation in the more developed countries. </w:t>
      </w:r>
      <w:r w:rsidDel="00000000" w:rsidR="00000000" w:rsidRPr="00000000">
        <w:rPr>
          <w:rFonts w:ascii="Times New Roman" w:cs="Times New Roman" w:eastAsia="Times New Roman" w:hAnsi="Times New Roman"/>
          <w:b w:val="1"/>
          <w:sz w:val="24"/>
          <w:szCs w:val="24"/>
          <w:highlight w:val="white"/>
          <w:rtl w:val="0"/>
        </w:rPr>
        <w:t xml:space="preserve">Pakistan</w:t>
      </w:r>
      <w:r w:rsidDel="00000000" w:rsidR="00000000" w:rsidRPr="00000000">
        <w:rPr>
          <w:rFonts w:ascii="Times New Roman" w:cs="Times New Roman" w:eastAsia="Times New Roman" w:hAnsi="Times New Roman"/>
          <w:sz w:val="24"/>
          <w:szCs w:val="24"/>
          <w:highlight w:val="white"/>
          <w:rtl w:val="0"/>
        </w:rPr>
        <w:t xml:space="preserve"> pointed to the idea that the report was </w:t>
      </w:r>
      <w:r w:rsidDel="00000000" w:rsidR="00000000" w:rsidRPr="00000000">
        <w:rPr>
          <w:rFonts w:ascii="Times New Roman" w:cs="Times New Roman" w:eastAsia="Times New Roman" w:hAnsi="Times New Roman"/>
          <w:sz w:val="24"/>
          <w:szCs w:val="24"/>
          <w:highlight w:val="white"/>
          <w:u w:val="single"/>
          <w:rtl w:val="0"/>
        </w:rPr>
        <w:t xml:space="preserve">using a tunnel-vision approach by only observing the human rights violation faced by the drug user, thus ignoring the multiple levels of drug trafficking, production etc that would require criminal proceedings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Saudi Arabia and Cuba</w:t>
      </w:r>
      <w:r w:rsidDel="00000000" w:rsidR="00000000" w:rsidRPr="00000000">
        <w:rPr>
          <w:rFonts w:ascii="Times New Roman" w:cs="Times New Roman" w:eastAsia="Times New Roman" w:hAnsi="Times New Roman"/>
          <w:sz w:val="24"/>
          <w:szCs w:val="24"/>
          <w:highlight w:val="white"/>
          <w:rtl w:val="0"/>
        </w:rPr>
        <w:t xml:space="preserve"> echoed similar sentiments in terms of the </w:t>
      </w:r>
      <w:r w:rsidDel="00000000" w:rsidR="00000000" w:rsidRPr="00000000">
        <w:rPr>
          <w:rFonts w:ascii="Times New Roman" w:cs="Times New Roman" w:eastAsia="Times New Roman" w:hAnsi="Times New Roman"/>
          <w:sz w:val="24"/>
          <w:szCs w:val="24"/>
          <w:highlight w:val="white"/>
          <w:u w:val="single"/>
          <w:rtl w:val="0"/>
        </w:rPr>
        <w:t xml:space="preserve">need to hold drug usage and drug dealings as criminal offences and reiterated that drug control is a part of the crime control mechanism and not that of human rights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B">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Chair Rapporteur</w:t>
      </w:r>
      <w:r w:rsidDel="00000000" w:rsidR="00000000" w:rsidRPr="00000000">
        <w:rPr>
          <w:rFonts w:ascii="Times New Roman" w:cs="Times New Roman" w:eastAsia="Times New Roman" w:hAnsi="Times New Roman"/>
          <w:sz w:val="24"/>
          <w:szCs w:val="24"/>
          <w:rtl w:val="0"/>
        </w:rPr>
        <w:t xml:space="preserve"> then responded to some of the questions and comments posed by the country representatives. She responded to concerns regarding the </w:t>
      </w:r>
      <w:r w:rsidDel="00000000" w:rsidR="00000000" w:rsidRPr="00000000">
        <w:rPr>
          <w:rFonts w:ascii="Times New Roman" w:cs="Times New Roman" w:eastAsia="Times New Roman" w:hAnsi="Times New Roman"/>
          <w:sz w:val="24"/>
          <w:szCs w:val="24"/>
          <w:highlight w:val="white"/>
          <w:rtl w:val="0"/>
        </w:rPr>
        <w:t xml:space="preserve">consultation process speeding into the preparation of the study by stating that the questionnaire that was sent out to the countries for written submissions related to the study in February of 2020 had to be extended till the summer of 2020 due to the restrictions posed by the pandemic.  She also reported that</w:t>
      </w:r>
      <w:r w:rsidDel="00000000" w:rsidR="00000000" w:rsidRPr="00000000">
        <w:rPr>
          <w:rFonts w:ascii="Times New Roman" w:cs="Times New Roman" w:eastAsia="Times New Roman" w:hAnsi="Times New Roman"/>
          <w:sz w:val="24"/>
          <w:szCs w:val="24"/>
          <w:rtl w:val="0"/>
        </w:rPr>
        <w:t xml:space="preserve"> overall </w:t>
      </w:r>
      <w:r w:rsidDel="00000000" w:rsidR="00000000" w:rsidRPr="00000000">
        <w:rPr>
          <w:rFonts w:ascii="Times New Roman" w:cs="Times New Roman" w:eastAsia="Times New Roman" w:hAnsi="Times New Roman"/>
          <w:sz w:val="24"/>
          <w:szCs w:val="24"/>
          <w:u w:val="single"/>
          <w:rtl w:val="0"/>
        </w:rPr>
        <w:t xml:space="preserve">21 states, 6 national Human Rights Institutions and 27 Civil Society organisations</w:t>
      </w:r>
      <w:r w:rsidDel="00000000" w:rsidR="00000000" w:rsidRPr="00000000">
        <w:rPr>
          <w:rFonts w:ascii="Times New Roman" w:cs="Times New Roman" w:eastAsia="Times New Roman" w:hAnsi="Times New Roman"/>
          <w:sz w:val="24"/>
          <w:szCs w:val="24"/>
          <w:rtl w:val="0"/>
        </w:rPr>
        <w:t xml:space="preserve"> had sent in their written submissions. She then reiterated the Working Groups stance that there must be an </w:t>
      </w:r>
      <w:r w:rsidDel="00000000" w:rsidR="00000000" w:rsidRPr="00000000">
        <w:rPr>
          <w:rFonts w:ascii="Times New Roman" w:cs="Times New Roman" w:eastAsia="Times New Roman" w:hAnsi="Times New Roman"/>
          <w:sz w:val="24"/>
          <w:szCs w:val="24"/>
          <w:u w:val="single"/>
          <w:rtl w:val="0"/>
        </w:rPr>
        <w:t xml:space="preserve">absolute prohibition of arbitrary deprivation of liberty</w:t>
      </w:r>
      <w:r w:rsidDel="00000000" w:rsidR="00000000" w:rsidRPr="00000000">
        <w:rPr>
          <w:rFonts w:ascii="Times New Roman" w:cs="Times New Roman" w:eastAsia="Times New Roman" w:hAnsi="Times New Roman"/>
          <w:sz w:val="24"/>
          <w:szCs w:val="24"/>
          <w:rtl w:val="0"/>
        </w:rPr>
        <w:t xml:space="preserve"> and the safeguards that prevent such instances must be available to </w:t>
      </w:r>
      <w:r w:rsidDel="00000000" w:rsidR="00000000" w:rsidRPr="00000000">
        <w:rPr>
          <w:rFonts w:ascii="Times New Roman" w:cs="Times New Roman" w:eastAsia="Times New Roman" w:hAnsi="Times New Roman"/>
          <w:sz w:val="24"/>
          <w:szCs w:val="24"/>
          <w:u w:val="single"/>
          <w:rtl w:val="0"/>
        </w:rPr>
        <w:t xml:space="preserve">everyone including those who are arrested, detained or charged with drug related offences.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NGOs also made statements bringing light to the issues of arbitrary detentions in certain regions: </w:t>
      </w:r>
      <w:hyperlink r:id="rId31">
        <w:r w:rsidDel="00000000" w:rsidR="00000000" w:rsidRPr="00000000">
          <w:rPr>
            <w:rFonts w:ascii="Times New Roman" w:cs="Times New Roman" w:eastAsia="Times New Roman" w:hAnsi="Times New Roman"/>
            <w:color w:val="0072c6"/>
            <w:sz w:val="24"/>
            <w:szCs w:val="24"/>
            <w:rtl w:val="0"/>
          </w:rPr>
          <w:t xml:space="preserve">Amnesty International</w:t>
        </w:r>
      </w:hyperlink>
      <w:r w:rsidDel="00000000" w:rsidR="00000000" w:rsidRPr="00000000">
        <w:rPr>
          <w:rFonts w:ascii="Times New Roman" w:cs="Times New Roman" w:eastAsia="Times New Roman" w:hAnsi="Times New Roman"/>
          <w:sz w:val="24"/>
          <w:szCs w:val="24"/>
          <w:rtl w:val="0"/>
        </w:rPr>
        <w:t xml:space="preserve">, </w:t>
      </w:r>
      <w:hyperlink r:id="rId32">
        <w:r w:rsidDel="00000000" w:rsidR="00000000" w:rsidRPr="00000000">
          <w:rPr>
            <w:rFonts w:ascii="Times New Roman" w:cs="Times New Roman" w:eastAsia="Times New Roman" w:hAnsi="Times New Roman"/>
            <w:color w:val="0072c6"/>
            <w:sz w:val="24"/>
            <w:szCs w:val="24"/>
            <w:rtl w:val="0"/>
          </w:rPr>
          <w:t xml:space="preserve">Asia Pacific Forum on Women, Law and Development</w:t>
        </w:r>
      </w:hyperlink>
      <w:r w:rsidDel="00000000" w:rsidR="00000000" w:rsidRPr="00000000">
        <w:rPr>
          <w:rFonts w:ascii="Times New Roman" w:cs="Times New Roman" w:eastAsia="Times New Roman" w:hAnsi="Times New Roman"/>
          <w:sz w:val="24"/>
          <w:szCs w:val="24"/>
          <w:rtl w:val="0"/>
        </w:rPr>
        <w:t xml:space="preserve">, </w:t>
      </w:r>
      <w:hyperlink r:id="rId33">
        <w:r w:rsidDel="00000000" w:rsidR="00000000" w:rsidRPr="00000000">
          <w:rPr>
            <w:rFonts w:ascii="Times New Roman" w:cs="Times New Roman" w:eastAsia="Times New Roman" w:hAnsi="Times New Roman"/>
            <w:color w:val="0072c6"/>
            <w:sz w:val="24"/>
            <w:szCs w:val="24"/>
            <w:rtl w:val="0"/>
          </w:rPr>
          <w:t xml:space="preserve">Asian Legal Resource Centre</w:t>
        </w:r>
      </w:hyperlink>
      <w:r w:rsidDel="00000000" w:rsidR="00000000" w:rsidRPr="00000000">
        <w:rPr>
          <w:rFonts w:ascii="Times New Roman" w:cs="Times New Roman" w:eastAsia="Times New Roman" w:hAnsi="Times New Roman"/>
          <w:sz w:val="24"/>
          <w:szCs w:val="24"/>
          <w:rtl w:val="0"/>
        </w:rPr>
        <w:t xml:space="preserve">, </w:t>
      </w:r>
      <w:hyperlink r:id="rId34">
        <w:r w:rsidDel="00000000" w:rsidR="00000000" w:rsidRPr="00000000">
          <w:rPr>
            <w:rFonts w:ascii="Times New Roman" w:cs="Times New Roman" w:eastAsia="Times New Roman" w:hAnsi="Times New Roman"/>
            <w:color w:val="0072c6"/>
            <w:sz w:val="24"/>
            <w:szCs w:val="24"/>
            <w:rtl w:val="0"/>
          </w:rPr>
          <w:t xml:space="preserve">Centro de Estudios Legales y Sociales (CELS) Asociación Civil</w:t>
        </w:r>
      </w:hyperlink>
      <w:r w:rsidDel="00000000" w:rsidR="00000000" w:rsidRPr="00000000">
        <w:rPr>
          <w:rFonts w:ascii="Times New Roman" w:cs="Times New Roman" w:eastAsia="Times New Roman" w:hAnsi="Times New Roman"/>
          <w:sz w:val="24"/>
          <w:szCs w:val="24"/>
          <w:rtl w:val="0"/>
        </w:rPr>
        <w:t xml:space="preserve">, </w:t>
      </w:r>
      <w:hyperlink r:id="rId35">
        <w:r w:rsidDel="00000000" w:rsidR="00000000" w:rsidRPr="00000000">
          <w:rPr>
            <w:rFonts w:ascii="Times New Roman" w:cs="Times New Roman" w:eastAsia="Times New Roman" w:hAnsi="Times New Roman"/>
            <w:color w:val="0072c6"/>
            <w:sz w:val="24"/>
            <w:szCs w:val="24"/>
            <w:rtl w:val="0"/>
          </w:rPr>
          <w:t xml:space="preserve">CIVICUS - World Alliance for Citizen Participation</w:t>
        </w:r>
      </w:hyperlink>
      <w:r w:rsidDel="00000000" w:rsidR="00000000" w:rsidRPr="00000000">
        <w:rPr>
          <w:rFonts w:ascii="Times New Roman" w:cs="Times New Roman" w:eastAsia="Times New Roman" w:hAnsi="Times New Roman"/>
          <w:sz w:val="24"/>
          <w:szCs w:val="24"/>
          <w:rtl w:val="0"/>
        </w:rPr>
        <w:t xml:space="preserve">, </w:t>
      </w:r>
      <w:hyperlink r:id="rId36">
        <w:r w:rsidDel="00000000" w:rsidR="00000000" w:rsidRPr="00000000">
          <w:rPr>
            <w:rFonts w:ascii="Times New Roman" w:cs="Times New Roman" w:eastAsia="Times New Roman" w:hAnsi="Times New Roman"/>
            <w:color w:val="0072c6"/>
            <w:sz w:val="24"/>
            <w:szCs w:val="24"/>
            <w:rtl w:val="0"/>
          </w:rPr>
          <w:t xml:space="preserve">Commission of the Churches on International Affairs of the World Council of Churches</w:t>
        </w:r>
      </w:hyperlink>
      <w:r w:rsidDel="00000000" w:rsidR="00000000" w:rsidRPr="00000000">
        <w:rPr>
          <w:rFonts w:ascii="Times New Roman" w:cs="Times New Roman" w:eastAsia="Times New Roman" w:hAnsi="Times New Roman"/>
          <w:sz w:val="24"/>
          <w:szCs w:val="24"/>
          <w:rtl w:val="0"/>
        </w:rPr>
        <w:t xml:space="preserve">, </w:t>
      </w:r>
      <w:hyperlink r:id="rId37">
        <w:r w:rsidDel="00000000" w:rsidR="00000000" w:rsidRPr="00000000">
          <w:rPr>
            <w:rFonts w:ascii="Times New Roman" w:cs="Times New Roman" w:eastAsia="Times New Roman" w:hAnsi="Times New Roman"/>
            <w:color w:val="0072c6"/>
            <w:sz w:val="24"/>
            <w:szCs w:val="24"/>
            <w:rtl w:val="0"/>
          </w:rPr>
          <w:t xml:space="preserve">Conectas Direitos Humanos</w:t>
        </w:r>
      </w:hyperlink>
      <w:r w:rsidDel="00000000" w:rsidR="00000000" w:rsidRPr="00000000">
        <w:rPr>
          <w:rFonts w:ascii="Times New Roman" w:cs="Times New Roman" w:eastAsia="Times New Roman" w:hAnsi="Times New Roman"/>
          <w:sz w:val="24"/>
          <w:szCs w:val="24"/>
          <w:rtl w:val="0"/>
        </w:rPr>
        <w:t xml:space="preserve">, </w:t>
      </w:r>
      <w:hyperlink r:id="rId38">
        <w:r w:rsidDel="00000000" w:rsidR="00000000" w:rsidRPr="00000000">
          <w:rPr>
            <w:rFonts w:ascii="Times New Roman" w:cs="Times New Roman" w:eastAsia="Times New Roman" w:hAnsi="Times New Roman"/>
            <w:color w:val="0072c6"/>
            <w:sz w:val="24"/>
            <w:szCs w:val="24"/>
            <w:rtl w:val="0"/>
          </w:rPr>
          <w:t xml:space="preserve">IDPC Consortium</w:t>
        </w:r>
      </w:hyperlink>
      <w:r w:rsidDel="00000000" w:rsidR="00000000" w:rsidRPr="00000000">
        <w:rPr>
          <w:rFonts w:ascii="Times New Roman" w:cs="Times New Roman" w:eastAsia="Times New Roman" w:hAnsi="Times New Roman"/>
          <w:sz w:val="24"/>
          <w:szCs w:val="24"/>
          <w:rtl w:val="0"/>
        </w:rPr>
        <w:t xml:space="preserve">, </w:t>
      </w:r>
      <w:hyperlink r:id="rId39">
        <w:r w:rsidDel="00000000" w:rsidR="00000000" w:rsidRPr="00000000">
          <w:rPr>
            <w:rFonts w:ascii="Times New Roman" w:cs="Times New Roman" w:eastAsia="Times New Roman" w:hAnsi="Times New Roman"/>
            <w:color w:val="0072c6"/>
            <w:sz w:val="24"/>
            <w:szCs w:val="24"/>
            <w:rtl w:val="0"/>
          </w:rPr>
          <w:t xml:space="preserve">International Harm Reduction Association (IHRA)</w:t>
        </w:r>
      </w:hyperlink>
      <w:r w:rsidDel="00000000" w:rsidR="00000000" w:rsidRPr="00000000">
        <w:rPr>
          <w:rFonts w:ascii="Times New Roman" w:cs="Times New Roman" w:eastAsia="Times New Roman" w:hAnsi="Times New Roman"/>
          <w:sz w:val="24"/>
          <w:szCs w:val="24"/>
          <w:rtl w:val="0"/>
        </w:rPr>
        <w:t xml:space="preserve">, </w:t>
      </w:r>
      <w:hyperlink r:id="rId40">
        <w:r w:rsidDel="00000000" w:rsidR="00000000" w:rsidRPr="00000000">
          <w:rPr>
            <w:rFonts w:ascii="Times New Roman" w:cs="Times New Roman" w:eastAsia="Times New Roman" w:hAnsi="Times New Roman"/>
            <w:color w:val="0072c6"/>
            <w:sz w:val="24"/>
            <w:szCs w:val="24"/>
            <w:rtl w:val="0"/>
          </w:rPr>
          <w:t xml:space="preserve">Rencontre Africaine pour la defense des droits de l'homme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12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Chair Rapporteur</w:t>
      </w:r>
      <w:r w:rsidDel="00000000" w:rsidR="00000000" w:rsidRPr="00000000">
        <w:rPr>
          <w:rFonts w:ascii="Times New Roman" w:cs="Times New Roman" w:eastAsia="Times New Roman" w:hAnsi="Times New Roman"/>
          <w:sz w:val="24"/>
          <w:szCs w:val="24"/>
          <w:rtl w:val="0"/>
        </w:rPr>
        <w:t xml:space="preserve"> then concluded the session by thanking the civil society representatives and all the stakeholders. She then reiterated some of the findings in the study including how the </w:t>
      </w:r>
      <w:r w:rsidDel="00000000" w:rsidR="00000000" w:rsidRPr="00000000">
        <w:rPr>
          <w:rFonts w:ascii="Times New Roman" w:cs="Times New Roman" w:eastAsia="Times New Roman" w:hAnsi="Times New Roman"/>
          <w:sz w:val="24"/>
          <w:szCs w:val="24"/>
          <w:u w:val="single"/>
          <w:rtl w:val="0"/>
        </w:rPr>
        <w:t xml:space="preserve">war on drugs had resulted in a severely disproportionate increase in incarceration and human rights violations</w:t>
      </w:r>
      <w:r w:rsidDel="00000000" w:rsidR="00000000" w:rsidRPr="00000000">
        <w:rPr>
          <w:rFonts w:ascii="Times New Roman" w:cs="Times New Roman" w:eastAsia="Times New Roman" w:hAnsi="Times New Roman"/>
          <w:sz w:val="24"/>
          <w:szCs w:val="24"/>
          <w:rtl w:val="0"/>
        </w:rPr>
        <w:t xml:space="preserve">. She further proclaimed that the </w:t>
      </w:r>
      <w:r w:rsidDel="00000000" w:rsidR="00000000" w:rsidRPr="00000000">
        <w:rPr>
          <w:rFonts w:ascii="Times New Roman" w:cs="Times New Roman" w:eastAsia="Times New Roman" w:hAnsi="Times New Roman"/>
          <w:sz w:val="24"/>
          <w:szCs w:val="24"/>
          <w:u w:val="single"/>
          <w:rtl w:val="0"/>
        </w:rPr>
        <w:t xml:space="preserve">study showed no evidence</w:t>
      </w:r>
      <w:r w:rsidDel="00000000" w:rsidR="00000000" w:rsidRPr="00000000">
        <w:rPr>
          <w:rFonts w:ascii="Times New Roman" w:cs="Times New Roman" w:eastAsia="Times New Roman" w:hAnsi="Times New Roman"/>
          <w:sz w:val="24"/>
          <w:szCs w:val="24"/>
          <w:highlight w:val="white"/>
          <w:u w:val="single"/>
          <w:rtl w:val="0"/>
        </w:rPr>
        <w:t xml:space="preserve"> that the practices in  compulsory drug detention centres showed improvement in drug dependent people and that the relapse rates in such cases were high</w:t>
      </w:r>
      <w:r w:rsidDel="00000000" w:rsidR="00000000" w:rsidRPr="00000000">
        <w:rPr>
          <w:rFonts w:ascii="Times New Roman" w:cs="Times New Roman" w:eastAsia="Times New Roman" w:hAnsi="Times New Roman"/>
          <w:sz w:val="24"/>
          <w:szCs w:val="24"/>
          <w:highlight w:val="white"/>
          <w:rtl w:val="0"/>
        </w:rPr>
        <w:t xml:space="preserve">. She noted that such relapses were low in cases which included voluntary participation in programs </w:t>
      </w:r>
      <w:r w:rsidDel="00000000" w:rsidR="00000000" w:rsidRPr="00000000">
        <w:rPr>
          <w:rFonts w:ascii="Times New Roman" w:cs="Times New Roman" w:eastAsia="Times New Roman" w:hAnsi="Times New Roman"/>
          <w:sz w:val="24"/>
          <w:szCs w:val="24"/>
          <w:highlight w:val="white"/>
          <w:u w:val="single"/>
          <w:rtl w:val="0"/>
        </w:rPr>
        <w:t xml:space="preserve">that included evidence and rights based services by health care professionals</w:t>
      </w:r>
      <w:r w:rsidDel="00000000" w:rsidR="00000000" w:rsidRPr="00000000">
        <w:rPr>
          <w:rFonts w:ascii="Times New Roman" w:cs="Times New Roman" w:eastAsia="Times New Roman" w:hAnsi="Times New Roman"/>
          <w:sz w:val="24"/>
          <w:szCs w:val="24"/>
          <w:highlight w:val="white"/>
          <w:rtl w:val="0"/>
        </w:rPr>
        <w:t xml:space="preserve">. The </w:t>
      </w:r>
      <w:r w:rsidDel="00000000" w:rsidR="00000000" w:rsidRPr="00000000">
        <w:rPr>
          <w:rFonts w:ascii="Times New Roman" w:cs="Times New Roman" w:eastAsia="Times New Roman" w:hAnsi="Times New Roman"/>
          <w:b w:val="1"/>
          <w:sz w:val="24"/>
          <w:szCs w:val="24"/>
          <w:highlight w:val="white"/>
          <w:rtl w:val="0"/>
        </w:rPr>
        <w:t xml:space="preserve">Chair </w:t>
      </w:r>
      <w:r w:rsidDel="00000000" w:rsidR="00000000" w:rsidRPr="00000000">
        <w:rPr>
          <w:rFonts w:ascii="Times New Roman" w:cs="Times New Roman" w:eastAsia="Times New Roman" w:hAnsi="Times New Roman"/>
          <w:b w:val="1"/>
          <w:sz w:val="24"/>
          <w:szCs w:val="24"/>
          <w:rtl w:val="0"/>
        </w:rPr>
        <w:t xml:space="preserve"> Rapporteur </w:t>
      </w:r>
      <w:r w:rsidDel="00000000" w:rsidR="00000000" w:rsidRPr="00000000">
        <w:rPr>
          <w:rFonts w:ascii="Times New Roman" w:cs="Times New Roman" w:eastAsia="Times New Roman" w:hAnsi="Times New Roman"/>
          <w:sz w:val="24"/>
          <w:szCs w:val="24"/>
          <w:rtl w:val="0"/>
        </w:rPr>
        <w:t xml:space="preserve">finally highlighted the need for embracing </w:t>
      </w:r>
      <w:r w:rsidDel="00000000" w:rsidR="00000000" w:rsidRPr="00000000">
        <w:rPr>
          <w:rFonts w:ascii="Times New Roman" w:cs="Times New Roman" w:eastAsia="Times New Roman" w:hAnsi="Times New Roman"/>
          <w:sz w:val="24"/>
          <w:szCs w:val="24"/>
          <w:highlight w:val="white"/>
          <w:rtl w:val="0"/>
        </w:rPr>
        <w:t xml:space="preserve">the cross cutting approach to drug policies noted in the study which underscores </w:t>
      </w:r>
      <w:r w:rsidDel="00000000" w:rsidR="00000000" w:rsidRPr="00000000">
        <w:rPr>
          <w:rFonts w:ascii="Times New Roman" w:cs="Times New Roman" w:eastAsia="Times New Roman" w:hAnsi="Times New Roman"/>
          <w:sz w:val="24"/>
          <w:szCs w:val="24"/>
          <w:highlight w:val="white"/>
          <w:u w:val="single"/>
          <w:rtl w:val="0"/>
        </w:rPr>
        <w:t xml:space="preserve">the central role of human rights</w:t>
      </w:r>
      <w:r w:rsidDel="00000000" w:rsidR="00000000" w:rsidRPr="00000000">
        <w:rPr>
          <w:rFonts w:ascii="Times New Roman" w:cs="Times New Roman" w:eastAsia="Times New Roman" w:hAnsi="Times New Roman"/>
          <w:sz w:val="24"/>
          <w:szCs w:val="24"/>
          <w:highlight w:val="white"/>
          <w:rtl w:val="0"/>
        </w:rPr>
        <w:t xml:space="preserve"> and the recommended multilevel response from the wide range of stakeholders. </w:t>
      </w:r>
    </w:p>
    <w:p w:rsidR="00000000" w:rsidDel="00000000" w:rsidP="00000000" w:rsidRDefault="00000000" w:rsidRPr="00000000" w14:paraId="0000000E">
      <w:pPr>
        <w:spacing w:after="12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pStyle w:val="Heading3"/>
        <w:spacing w:after="160" w:line="256.8000047857111" w:lineRule="auto"/>
        <w:rPr/>
      </w:pPr>
      <w:bookmarkStart w:colFirst="0" w:colLast="0" w:name="_heading=h.gjdgxs" w:id="0"/>
      <w:bookmarkEnd w:id="0"/>
      <w:r w:rsidDel="00000000" w:rsidR="00000000" w:rsidRPr="00000000">
        <w:rPr>
          <w:rtl w:val="0"/>
        </w:rPr>
        <w:t xml:space="preserve">Composition of the HRC:</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drawing>
          <wp:inline distB="114300" distT="114300" distL="114300" distR="114300">
            <wp:extent cx="5943600" cy="1612900"/>
            <wp:effectExtent b="0" l="0" r="0" t="0"/>
            <wp:docPr id="2" name="image1.png"/>
            <a:graphic>
              <a:graphicData uri="http://schemas.openxmlformats.org/drawingml/2006/picture">
                <pic:pic>
                  <pic:nvPicPr>
                    <pic:cNvPr id="0" name="image1.png"/>
                    <pic:cNvPicPr preferRelativeResize="0"/>
                  </pic:nvPicPr>
                  <pic:blipFill>
                    <a:blip r:embed="rId41"/>
                    <a:srcRect b="0" l="0" r="0" t="0"/>
                    <a:stretch>
                      <a:fillRect/>
                    </a:stretch>
                  </pic:blipFill>
                  <pic:spPr>
                    <a:xfrm>
                      <a:off x="0" y="0"/>
                      <a:ext cx="59436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12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2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after="120" w:lineRule="auto"/>
        <w:jc w:val="both"/>
        <w:rPr>
          <w:rFonts w:ascii="Times New Roman" w:cs="Times New Roman" w:eastAsia="Times New Roman" w:hAnsi="Times New Roman"/>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hrcmeetings.ohchr.org/HRCSessions/HRCDocuments/43/NGO/40512_75_bc626748_dea9_4d65_8daa_3f1c03720bbd.docx" TargetMode="External"/><Relationship Id="rId20" Type="http://schemas.openxmlformats.org/officeDocument/2006/relationships/hyperlink" Target="https://hrcmeetings.ohchr.org/HRCSessions/HRCDocuments/43/SP/37741_47_c8bfbb73_1f41_489d_bc37_67d59881dea2.docx" TargetMode="External"/><Relationship Id="rId41" Type="http://schemas.openxmlformats.org/officeDocument/2006/relationships/image" Target="media/image1.png"/><Relationship Id="rId22" Type="http://schemas.openxmlformats.org/officeDocument/2006/relationships/hyperlink" Target="https://hrcmeetings.ohchr.org/HRCSessions/HRCDocuments/43/SP/36617_47_8e6f9e2e_61a3_4d85_bb02_b4abb94e8027.docx" TargetMode="External"/><Relationship Id="rId21" Type="http://schemas.openxmlformats.org/officeDocument/2006/relationships/hyperlink" Target="https://hrcmeetings.ohchr.org/HRCSessions/HRCDocuments/43/SP/35596_47_db484071_62fc_44ca_b208_1c0e6cee7f2d.docx" TargetMode="External"/><Relationship Id="rId24" Type="http://schemas.openxmlformats.org/officeDocument/2006/relationships/hyperlink" Target="https://hrcmeetings.ohchr.org/HRCSessions/HRCDocuments/43/SP/37107_47_72e20dc0_104e_4ef7_9938_75e3196f4019.docx" TargetMode="External"/><Relationship Id="rId23" Type="http://schemas.openxmlformats.org/officeDocument/2006/relationships/hyperlink" Target="https://hrcmeetings.ohchr.org/HRCSessions/HRCDocuments/43/SP/37836_47_616785b5_ad8d_4d4d_9baa_05bf3c8143b4.d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cmeetings.ohchr.org/HRCSessions/HRCDocuments/43/SP/36675_47_e532b216_3be5_4286_b900_de0168e915e9.docx" TargetMode="External"/><Relationship Id="rId26" Type="http://schemas.openxmlformats.org/officeDocument/2006/relationships/hyperlink" Target="https://hrcmeetings.ohchr.org/HRCSessions/HRCDocuments/43/SP/37080_47_422a129d_741a_4c97_8251_470c5a894e56.docx" TargetMode="External"/><Relationship Id="rId25" Type="http://schemas.openxmlformats.org/officeDocument/2006/relationships/hyperlink" Target="https://hrcmeetings.ohchr.org/HRCSessions/HRCDocuments/43/SP/35675_47_226e9f59_83b4_4c3e_aaae_2916bd6d1f3c.docx" TargetMode="External"/><Relationship Id="rId28" Type="http://schemas.openxmlformats.org/officeDocument/2006/relationships/hyperlink" Target="https://hrcmeetings.ohchr.org/HRCSessions/HRCDocuments/43/SP/36463_47_98f49855_bf12_4696_a35b_ab227309b0cd.docx" TargetMode="External"/><Relationship Id="rId27" Type="http://schemas.openxmlformats.org/officeDocument/2006/relationships/hyperlink" Target="https://hrcmeetings.ohchr.org/HRCSessions/HRCDocuments/43/SP/36539_47_ddbe88b5_54f6_46d3_a503_6c54b4c83d15.doc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hrcmeetings.ohchr.org/HRCSessions/HRCDocuments/43/SP/36909_47_78d2a569_177e_4395_911d_e61cd503cad5.docx" TargetMode="External"/><Relationship Id="rId7" Type="http://schemas.openxmlformats.org/officeDocument/2006/relationships/hyperlink" Target="https://hrcmeetings.ohchr.org/HRCSessions/RegularSessions/47session/Pages/Statements.aspx?SessionId=43&amp;MeetingDate=02/07/2021%2000:00:00" TargetMode="External"/><Relationship Id="rId8" Type="http://schemas.openxmlformats.org/officeDocument/2006/relationships/hyperlink" Target="https://undocs.org/A/HRC/47/40" TargetMode="External"/><Relationship Id="rId31" Type="http://schemas.openxmlformats.org/officeDocument/2006/relationships/hyperlink" Target="https://hrcmeetings.ohchr.org/HRCSessions/HRCDocuments/43/NGO/39430_75_26d9f91e_700b_496d_9e7a_de6c261fbe4d.docx" TargetMode="External"/><Relationship Id="rId30" Type="http://schemas.openxmlformats.org/officeDocument/2006/relationships/hyperlink" Target="https://hrcmeetings.ohchr.org/HRCSessions/HRCDocuments/43/SP/36414_47_5c907d06_ff5a_4c2a_a146_a570e2fe2932.docx" TargetMode="External"/><Relationship Id="rId11" Type="http://schemas.openxmlformats.org/officeDocument/2006/relationships/hyperlink" Target="https://hrcmeetings.ohchr.org/HRCSessions/HRCDocuments/43/SP/37864_47_608050a7_bfc2_44f5_af6a_ffb4f1a31759.doc" TargetMode="External"/><Relationship Id="rId33" Type="http://schemas.openxmlformats.org/officeDocument/2006/relationships/hyperlink" Target="https://hrcmeetings.ohchr.org/HRCSessions/HRCDocuments/43/NGO/40148_75_da5b17b8_036e_4772_bc2a_87bd7b58f50f.doc" TargetMode="External"/><Relationship Id="rId10" Type="http://schemas.openxmlformats.org/officeDocument/2006/relationships/hyperlink" Target="https://hrcmeetings.ohchr.org/HRCSessions/HRCDocuments/43/SP/37853_47_df0d073e_5dad_42c1_9ab6_a1fa54a3a899.docx" TargetMode="External"/><Relationship Id="rId32" Type="http://schemas.openxmlformats.org/officeDocument/2006/relationships/hyperlink" Target="https://hrcmeetings.ohchr.org/HRCSessions/HRCDocuments/43/NGO/40742_75_b2462c78_c6c5_4603_8ae8_b4b13c1b7709.docx" TargetMode="External"/><Relationship Id="rId13" Type="http://schemas.openxmlformats.org/officeDocument/2006/relationships/hyperlink" Target="https://hrcmeetings.ohchr.org/HRCSessions/HRCDocuments/43/SP/36176_47_0c328b1f_49b9_4f57_b131_3e0adc9e6908.docx" TargetMode="External"/><Relationship Id="rId35" Type="http://schemas.openxmlformats.org/officeDocument/2006/relationships/hyperlink" Target="https://hrcmeetings.ohchr.org/HRCSessions/HRCDocuments/43/NGO/40216_75_aa29c22e_6231_400c_9b15_d2deeec91f79.docx" TargetMode="External"/><Relationship Id="rId12" Type="http://schemas.openxmlformats.org/officeDocument/2006/relationships/hyperlink" Target="https://hrcmeetings.ohchr.org/HRCSessions/HRCDocuments/43/SP/37877_47_5c1ddf98_b410_4d99_b9dc_6ff9a8f7520a.docx" TargetMode="External"/><Relationship Id="rId34" Type="http://schemas.openxmlformats.org/officeDocument/2006/relationships/hyperlink" Target="https://hrcmeetings.ohchr.org/HRCSessions/HRCDocuments/43/NGO/39366_75_5faae120_57f0_401d_9dcb_177984971725.docx" TargetMode="External"/><Relationship Id="rId15" Type="http://schemas.openxmlformats.org/officeDocument/2006/relationships/hyperlink" Target="https://hrcmeetings.ohchr.org/HRCSessions/HRCDocuments/43/SP/36442_47_fc5d529c_65f5_4fd9_ad81_f1cad90fbb32.doc" TargetMode="External"/><Relationship Id="rId37" Type="http://schemas.openxmlformats.org/officeDocument/2006/relationships/hyperlink" Target="https://hrcmeetings.ohchr.org/HRCSessions/HRCDocuments/43/NGO/39615_75_1ba7b2e8_51df_43da_9971_8441ef919d29.docx" TargetMode="External"/><Relationship Id="rId14" Type="http://schemas.openxmlformats.org/officeDocument/2006/relationships/hyperlink" Target="https://hrcmeetings.ohchr.org/HRCSessions/HRCDocuments/43/SP/35874_47_7f278652_df8e_49de_b0f3_172001f99065.docx" TargetMode="External"/><Relationship Id="rId36" Type="http://schemas.openxmlformats.org/officeDocument/2006/relationships/hyperlink" Target="https://hrcmeetings.ohchr.org/HRCSessions/HRCDocuments/43/NGO/39792_75_2237e37d_bcce_4f08_afd7_f2b4f35d2c4e.docx" TargetMode="External"/><Relationship Id="rId17" Type="http://schemas.openxmlformats.org/officeDocument/2006/relationships/hyperlink" Target="https://hrcmeetings.ohchr.org/HRCSessions/HRCDocuments/43/SP/35752_47_0e9a63cf_d40a_4535_90bf_3d4f764f5d39.docx" TargetMode="External"/><Relationship Id="rId39" Type="http://schemas.openxmlformats.org/officeDocument/2006/relationships/hyperlink" Target="https://hrcmeetings.ohchr.org/HRCSessions/HRCDocuments/43/NGO/39227_75_d4a08f6f_59d6_4936_b7d8_c96155026b15.docx" TargetMode="External"/><Relationship Id="rId16" Type="http://schemas.openxmlformats.org/officeDocument/2006/relationships/hyperlink" Target="https://hrcmeetings.ohchr.org/HRCSessions/HRCDocuments/43/SP/36157_47_d4062071_331f_4102_90e7_95fa287290e7.docx" TargetMode="External"/><Relationship Id="rId38" Type="http://schemas.openxmlformats.org/officeDocument/2006/relationships/hyperlink" Target="https://hrcmeetings.ohchr.org/HRCSessions/HRCDocuments/43/NGO/39242_75_c63372bc_9321_4944_86c5_c3ff6e7e7e88.docx" TargetMode="External"/><Relationship Id="rId19" Type="http://schemas.openxmlformats.org/officeDocument/2006/relationships/hyperlink" Target="https://hrcmeetings.ohchr.org/HRCSessions/HRCDocuments/43/SP/35701_47_1f02e47b_57da_4d56_8e6c_98f2e7743508.docx" TargetMode="External"/><Relationship Id="rId18" Type="http://schemas.openxmlformats.org/officeDocument/2006/relationships/hyperlink" Target="https://hrcmeetings.ohchr.org/HRCSessions/HRCDocuments/43/SP/36863_47_57c22af3_e163_4242_bb6a_1cab27a3f1b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zD0seUI+9rdOq55d01KQXISPA==">AMUW2mUN1AbVzDiDkjBL6FnB/DiYzj0IRAxbMT5UdE6kN9m50NDBcCbBhz1n8tbST1Mv+uTXq8MX4N+9Az58GM1NHxMyo+WOISAa2X8A5qKNCzO+wZTmIL4MgB3EyXeZf/RUkJQfI4VR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